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2A49" w14:textId="416F737B" w:rsidR="00303D0E" w:rsidRPr="00753199" w:rsidRDefault="00DF7BB7" w:rsidP="00DF7BB7">
      <w:pPr>
        <w:jc w:val="left"/>
        <w:rPr>
          <w:rFonts w:ascii="Arial" w:hAnsi="Arial" w:cs="Arial"/>
          <w:kern w:val="0"/>
          <w:szCs w:val="20"/>
        </w:rPr>
      </w:pPr>
      <w:r w:rsidRPr="00753199">
        <w:rPr>
          <w:rFonts w:ascii="Arial" w:eastAsia="굴림" w:hAnsi="Arial" w:cs="Arial"/>
          <w:bCs/>
          <w:kern w:val="0"/>
          <w:szCs w:val="20"/>
        </w:rPr>
        <w:t>The PEMJ is operated according to the Principles of Transparency and Best Prac</w:t>
      </w:r>
      <w:r w:rsidR="005B68D2" w:rsidRPr="00753199">
        <w:rPr>
          <w:rFonts w:ascii="Arial" w:eastAsia="굴림" w:hAnsi="Arial" w:cs="Arial"/>
          <w:bCs/>
          <w:kern w:val="0"/>
          <w:szCs w:val="20"/>
        </w:rPr>
        <w:t>tice in Scholarly Publishing 4th</w:t>
      </w:r>
      <w:r w:rsidRPr="00753199">
        <w:rPr>
          <w:rFonts w:ascii="Arial" w:eastAsia="굴림" w:hAnsi="Arial" w:cs="Arial"/>
          <w:bCs/>
          <w:kern w:val="0"/>
          <w:szCs w:val="20"/>
        </w:rPr>
        <w:t xml:space="preserve"> ed (</w:t>
      </w:r>
      <w:r w:rsidR="005B68D2" w:rsidRPr="00753199">
        <w:rPr>
          <w:rFonts w:ascii="Arial" w:eastAsia="굴림" w:hAnsi="Arial" w:cs="Arial"/>
          <w:bCs/>
          <w:kern w:val="0"/>
          <w:szCs w:val="20"/>
        </w:rPr>
        <w:t>https://publicationethics.org/resources/guidelines-new/principles-transparency-and-best-practice-scholarly-publishing</w:t>
      </w:r>
      <w:r w:rsidRPr="00753199">
        <w:rPr>
          <w:rFonts w:ascii="Arial" w:eastAsia="굴림" w:hAnsi="Arial" w:cs="Arial"/>
          <w:bCs/>
          <w:kern w:val="0"/>
          <w:szCs w:val="20"/>
        </w:rPr>
        <w:t>).</w:t>
      </w:r>
    </w:p>
    <w:tbl>
      <w:tblPr>
        <w:tblStyle w:val="a3"/>
        <w:tblW w:w="0" w:type="auto"/>
        <w:tblInd w:w="240" w:type="dxa"/>
        <w:tblLook w:val="04A0" w:firstRow="1" w:lastRow="0" w:firstColumn="1" w:lastColumn="0" w:noHBand="0" w:noVBand="1"/>
      </w:tblPr>
      <w:tblGrid>
        <w:gridCol w:w="541"/>
        <w:gridCol w:w="3617"/>
        <w:gridCol w:w="4618"/>
      </w:tblGrid>
      <w:tr w:rsidR="009F21A0" w:rsidRPr="00753199" w14:paraId="12AB23B9" w14:textId="77777777" w:rsidTr="005B68D2">
        <w:tc>
          <w:tcPr>
            <w:tcW w:w="541" w:type="dxa"/>
          </w:tcPr>
          <w:p w14:paraId="0CD7B35A" w14:textId="1DD2DC25" w:rsidR="00321DE7" w:rsidRPr="00753199" w:rsidRDefault="00321DE7" w:rsidP="00411F95">
            <w:pPr>
              <w:jc w:val="left"/>
              <w:rPr>
                <w:rFonts w:ascii="Arial" w:hAnsi="Arial" w:cs="Arial"/>
                <w:kern w:val="0"/>
                <w:szCs w:val="20"/>
              </w:rPr>
            </w:pPr>
            <w:r w:rsidRPr="00753199">
              <w:rPr>
                <w:rFonts w:ascii="Arial" w:hAnsi="Arial" w:cs="Arial"/>
                <w:kern w:val="0"/>
                <w:szCs w:val="20"/>
              </w:rPr>
              <w:t>No</w:t>
            </w:r>
          </w:p>
        </w:tc>
        <w:tc>
          <w:tcPr>
            <w:tcW w:w="3617" w:type="dxa"/>
          </w:tcPr>
          <w:p w14:paraId="4A083A65" w14:textId="7F3E0F71" w:rsidR="00321DE7" w:rsidRPr="00753199" w:rsidRDefault="00321DE7" w:rsidP="00411F95">
            <w:pPr>
              <w:jc w:val="left"/>
              <w:rPr>
                <w:rFonts w:ascii="Arial" w:hAnsi="Arial" w:cs="Arial"/>
                <w:kern w:val="0"/>
                <w:szCs w:val="20"/>
              </w:rPr>
            </w:pPr>
            <w:r w:rsidRPr="00753199">
              <w:rPr>
                <w:rFonts w:ascii="Arial" w:hAnsi="Arial" w:cs="Arial"/>
                <w:kern w:val="0"/>
                <w:szCs w:val="20"/>
              </w:rPr>
              <w:t>Item</w:t>
            </w:r>
          </w:p>
        </w:tc>
        <w:tc>
          <w:tcPr>
            <w:tcW w:w="4618" w:type="dxa"/>
          </w:tcPr>
          <w:p w14:paraId="38B4FF19" w14:textId="15CC2AF7" w:rsidR="00321DE7" w:rsidRPr="00753199" w:rsidRDefault="00321DE7" w:rsidP="00411F95">
            <w:pPr>
              <w:jc w:val="left"/>
              <w:rPr>
                <w:rFonts w:ascii="Arial" w:hAnsi="Arial" w:cs="Arial"/>
                <w:kern w:val="0"/>
                <w:szCs w:val="20"/>
              </w:rPr>
            </w:pPr>
            <w:r w:rsidRPr="00753199">
              <w:rPr>
                <w:rFonts w:ascii="Arial" w:hAnsi="Arial" w:cs="Arial"/>
                <w:kern w:val="0"/>
                <w:szCs w:val="20"/>
              </w:rPr>
              <w:t>Remark</w:t>
            </w:r>
          </w:p>
        </w:tc>
      </w:tr>
      <w:tr w:rsidR="005B68D2" w:rsidRPr="00753199" w14:paraId="62FA8075" w14:textId="77777777" w:rsidTr="005B68D2">
        <w:trPr>
          <w:trHeight w:val="750"/>
        </w:trPr>
        <w:tc>
          <w:tcPr>
            <w:tcW w:w="541" w:type="dxa"/>
          </w:tcPr>
          <w:p w14:paraId="3AE684D5" w14:textId="2E7B24D5" w:rsidR="005B68D2" w:rsidRPr="00753199" w:rsidRDefault="005B68D2" w:rsidP="005B68D2">
            <w:pPr>
              <w:jc w:val="left"/>
              <w:rPr>
                <w:rFonts w:ascii="Arial" w:hAnsi="Arial" w:cs="Arial"/>
                <w:kern w:val="0"/>
                <w:szCs w:val="20"/>
              </w:rPr>
            </w:pPr>
            <w:r w:rsidRPr="00753199">
              <w:rPr>
                <w:rFonts w:ascii="Arial" w:hAnsi="Arial" w:cs="Arial"/>
                <w:kern w:val="0"/>
                <w:szCs w:val="20"/>
              </w:rPr>
              <w:t>1</w:t>
            </w:r>
          </w:p>
        </w:tc>
        <w:tc>
          <w:tcPr>
            <w:tcW w:w="3617" w:type="dxa"/>
          </w:tcPr>
          <w:p w14:paraId="3882A43D" w14:textId="78EFA2F9" w:rsidR="005B68D2" w:rsidRPr="00753199" w:rsidRDefault="005B68D2" w:rsidP="005B68D2">
            <w:pPr>
              <w:jc w:val="left"/>
              <w:rPr>
                <w:rFonts w:ascii="Arial" w:hAnsi="Arial" w:cs="Arial"/>
                <w:kern w:val="0"/>
                <w:szCs w:val="20"/>
              </w:rPr>
            </w:pPr>
            <w:r w:rsidRPr="00753199">
              <w:rPr>
                <w:rFonts w:ascii="Arial" w:hAnsi="Arial" w:cs="Arial"/>
                <w:kern w:val="0"/>
                <w:szCs w:val="20"/>
              </w:rPr>
              <w:t>Name of journal</w:t>
            </w:r>
          </w:p>
        </w:tc>
        <w:tc>
          <w:tcPr>
            <w:tcW w:w="4618" w:type="dxa"/>
          </w:tcPr>
          <w:p w14:paraId="06E38F3B" w14:textId="7E30121A" w:rsidR="005B68D2" w:rsidRPr="00753199" w:rsidRDefault="005B68D2" w:rsidP="005B68D2">
            <w:pPr>
              <w:jc w:val="left"/>
              <w:rPr>
                <w:rFonts w:ascii="Arial" w:hAnsi="Arial" w:cs="Arial"/>
                <w:kern w:val="0"/>
                <w:szCs w:val="20"/>
              </w:rPr>
            </w:pPr>
            <w:r w:rsidRPr="00753199">
              <w:rPr>
                <w:rFonts w:ascii="Arial" w:hAnsi="Arial" w:cs="Arial"/>
                <w:kern w:val="0"/>
                <w:szCs w:val="20"/>
              </w:rPr>
              <w:t>Pediatric Emergency Medicine Journal (Pediatr Emerg Med J; pISSN 2383-4897, eISSN 2508-5506)</w:t>
            </w:r>
          </w:p>
        </w:tc>
      </w:tr>
      <w:tr w:rsidR="009F21A0" w:rsidRPr="00753199" w14:paraId="524EE2DC" w14:textId="77777777" w:rsidTr="005B68D2">
        <w:trPr>
          <w:trHeight w:val="1495"/>
        </w:trPr>
        <w:tc>
          <w:tcPr>
            <w:tcW w:w="541" w:type="dxa"/>
          </w:tcPr>
          <w:p w14:paraId="695A39C3" w14:textId="0BE3E553" w:rsidR="003502CA" w:rsidRPr="00753199" w:rsidRDefault="005B68D2" w:rsidP="00411F95">
            <w:pPr>
              <w:jc w:val="left"/>
              <w:rPr>
                <w:rFonts w:ascii="Arial" w:hAnsi="Arial" w:cs="Arial"/>
                <w:kern w:val="0"/>
                <w:szCs w:val="20"/>
              </w:rPr>
            </w:pPr>
            <w:r w:rsidRPr="00753199">
              <w:rPr>
                <w:rFonts w:ascii="Arial" w:hAnsi="Arial" w:cs="Arial"/>
                <w:kern w:val="0"/>
                <w:szCs w:val="20"/>
              </w:rPr>
              <w:t>2</w:t>
            </w:r>
          </w:p>
        </w:tc>
        <w:tc>
          <w:tcPr>
            <w:tcW w:w="3617" w:type="dxa"/>
          </w:tcPr>
          <w:p w14:paraId="4566DBFC" w14:textId="03C1E3B2" w:rsidR="003502CA" w:rsidRPr="00753199" w:rsidRDefault="005B68D2" w:rsidP="00411F95">
            <w:pPr>
              <w:jc w:val="left"/>
              <w:rPr>
                <w:rFonts w:ascii="Arial" w:hAnsi="Arial" w:cs="Arial"/>
                <w:kern w:val="0"/>
                <w:szCs w:val="20"/>
              </w:rPr>
            </w:pPr>
            <w:r w:rsidRPr="00753199">
              <w:rPr>
                <w:rFonts w:ascii="Arial" w:hAnsi="Arial" w:cs="Arial"/>
                <w:kern w:val="0"/>
                <w:szCs w:val="20"/>
              </w:rPr>
              <w:t>Website</w:t>
            </w:r>
          </w:p>
        </w:tc>
        <w:tc>
          <w:tcPr>
            <w:tcW w:w="4618" w:type="dxa"/>
          </w:tcPr>
          <w:p w14:paraId="7D8BCBBF" w14:textId="77777777" w:rsidR="00E753C6" w:rsidRPr="00753199" w:rsidRDefault="00E753C6" w:rsidP="00E753C6">
            <w:pPr>
              <w:widowControl/>
              <w:wordWrap/>
              <w:autoSpaceDE/>
              <w:autoSpaceDN/>
              <w:spacing w:before="100" w:beforeAutospacing="1" w:after="100" w:afterAutospacing="1" w:line="276" w:lineRule="auto"/>
              <w:jc w:val="left"/>
              <w:rPr>
                <w:rFonts w:ascii="Arial" w:eastAsia="굴림" w:hAnsi="Arial" w:cs="Arial"/>
                <w:kern w:val="0"/>
                <w:szCs w:val="20"/>
              </w:rPr>
            </w:pPr>
            <w:r w:rsidRPr="00753199">
              <w:rPr>
                <w:rFonts w:ascii="Arial" w:eastAsia="굴림" w:hAnsi="Arial" w:cs="Arial"/>
                <w:kern w:val="0"/>
                <w:szCs w:val="20"/>
              </w:rPr>
              <w:t>PEMJ</w:t>
            </w:r>
            <w:r w:rsidRPr="00753199">
              <w:rPr>
                <w:rFonts w:ascii="Arial" w:hAnsi="Arial" w:cs="Arial"/>
                <w:szCs w:val="20"/>
              </w:rPr>
              <w:t xml:space="preserve"> </w:t>
            </w:r>
            <w:r w:rsidRPr="00753199">
              <w:rPr>
                <w:rFonts w:ascii="Arial" w:eastAsia="굴림" w:hAnsi="Arial" w:cs="Arial"/>
                <w:kern w:val="0"/>
                <w:szCs w:val="20"/>
              </w:rPr>
              <w:t>aims at worldwide pediatricians, emergency physicians, and other health care providers or researchers who care for ill or injured infants, children or adolescents, or are interested in pediatric emergency medicine. Readers of the journal can obtain academic or updated information for relevant practice or research. In addition, the readership can be expanded to clinicians, researchers or policymakers who would like to access recent information or trends on pediatric emergency medicine.</w:t>
            </w:r>
          </w:p>
          <w:p w14:paraId="77145585" w14:textId="77777777" w:rsidR="00E753C6" w:rsidRPr="00753199" w:rsidRDefault="00E753C6" w:rsidP="00E753C6">
            <w:pPr>
              <w:widowControl/>
              <w:wordWrap/>
              <w:autoSpaceDE/>
              <w:autoSpaceDN/>
              <w:spacing w:before="100" w:beforeAutospacing="1" w:after="100" w:afterAutospacing="1" w:line="276" w:lineRule="auto"/>
              <w:jc w:val="left"/>
              <w:rPr>
                <w:rFonts w:ascii="Arial" w:eastAsia="굴림" w:hAnsi="Arial" w:cs="Arial"/>
                <w:kern w:val="0"/>
                <w:szCs w:val="20"/>
              </w:rPr>
            </w:pPr>
            <w:r w:rsidRPr="00753199">
              <w:rPr>
                <w:rFonts w:ascii="Arial" w:eastAsia="굴림" w:hAnsi="Arial" w:cs="Arial"/>
                <w:kern w:val="0"/>
                <w:szCs w:val="20"/>
              </w:rPr>
              <w:t xml:space="preserve">The journal scope embraces both basic and clinical research of pediatric emergency medicine. In detail, we publish articles regarding abuse-and-assault, adolescents, allergy-immunology-and-rheumatology, behavioral-and-psychiatric, cardiovascular, critical care-and-resuscitation, dentistry, dermatology, editing-writing-and-publishing, endocrinology-and-metabolism, environmental injury, epidemiology, ethics, foreign body, gastroenterology-hepatology-and-nutrition, genetics, gynecology, hemato-oncology, head injury, imaging, infection, laboratory medicine, informatics, musculoskeletal-and-orthopedics, neonatology, nephrology-and-urology, neurology-and-neurosurgery, nursing, otolaryngology-and-ophthalmology, pathophysiology, pharmacology, procedure, rehabilitation-and-sports medicine, respiratory, sedation-and-analgesia, surgery, toxicology, trauma, and miscellaneous. We may publish articles on studies performed outside emergency departments if the articles state a pediatric emergency medicine perspective. </w:t>
            </w:r>
          </w:p>
          <w:p w14:paraId="16122CD7" w14:textId="457A5968" w:rsidR="003502CA" w:rsidRPr="00753199" w:rsidRDefault="00E753C6" w:rsidP="005B68D2">
            <w:pPr>
              <w:widowControl/>
              <w:wordWrap/>
              <w:autoSpaceDE/>
              <w:autoSpaceDN/>
              <w:spacing w:before="100" w:beforeAutospacing="1" w:after="100" w:afterAutospacing="1" w:line="276" w:lineRule="auto"/>
              <w:jc w:val="left"/>
              <w:rPr>
                <w:rFonts w:ascii="Arial" w:eastAsia="굴림" w:hAnsi="Arial" w:cs="Arial"/>
                <w:kern w:val="0"/>
                <w:szCs w:val="20"/>
              </w:rPr>
            </w:pPr>
            <w:r w:rsidRPr="00753199">
              <w:rPr>
                <w:rFonts w:ascii="Arial" w:eastAsia="굴림" w:hAnsi="Arial" w:cs="Arial"/>
                <w:kern w:val="0"/>
                <w:szCs w:val="20"/>
              </w:rPr>
              <w:t xml:space="preserve">PEMJ accepts </w:t>
            </w:r>
            <w:r w:rsidRPr="00753199">
              <w:rPr>
                <w:rFonts w:ascii="Arial" w:eastAsia="굴림" w:hAnsi="Arial" w:cs="Arial"/>
                <w:b/>
                <w:bCs/>
                <w:kern w:val="0"/>
                <w:szCs w:val="20"/>
              </w:rPr>
              <w:t>original articles, reviews, editorials, case reports, brief communications, correspondences, and special contributions</w:t>
            </w:r>
            <w:r w:rsidRPr="00753199">
              <w:rPr>
                <w:rFonts w:ascii="Arial" w:eastAsia="굴림" w:hAnsi="Arial" w:cs="Arial"/>
                <w:kern w:val="0"/>
                <w:szCs w:val="20"/>
              </w:rPr>
              <w:t xml:space="preserve">. </w:t>
            </w:r>
          </w:p>
        </w:tc>
      </w:tr>
      <w:tr w:rsidR="005B68D2" w:rsidRPr="00753199" w14:paraId="40670D0A" w14:textId="77777777" w:rsidTr="005B68D2">
        <w:tc>
          <w:tcPr>
            <w:tcW w:w="541" w:type="dxa"/>
          </w:tcPr>
          <w:p w14:paraId="334553B6" w14:textId="2397EC4D" w:rsidR="005B68D2" w:rsidRPr="00753199" w:rsidRDefault="005B68D2" w:rsidP="005B68D2">
            <w:pPr>
              <w:jc w:val="left"/>
              <w:rPr>
                <w:rFonts w:ascii="Arial" w:hAnsi="Arial" w:cs="Arial"/>
                <w:kern w:val="0"/>
                <w:szCs w:val="20"/>
              </w:rPr>
            </w:pPr>
            <w:r w:rsidRPr="00753199">
              <w:rPr>
                <w:rFonts w:ascii="Arial" w:hAnsi="Arial" w:cs="Arial"/>
                <w:kern w:val="0"/>
                <w:szCs w:val="20"/>
              </w:rPr>
              <w:t>3</w:t>
            </w:r>
          </w:p>
        </w:tc>
        <w:tc>
          <w:tcPr>
            <w:tcW w:w="3617" w:type="dxa"/>
          </w:tcPr>
          <w:p w14:paraId="05A9307B" w14:textId="1EB751D4" w:rsidR="005B68D2" w:rsidRPr="00753199" w:rsidRDefault="005B68D2" w:rsidP="005B68D2">
            <w:pPr>
              <w:jc w:val="left"/>
              <w:rPr>
                <w:rFonts w:ascii="Arial" w:hAnsi="Arial" w:cs="Arial"/>
                <w:kern w:val="0"/>
                <w:szCs w:val="20"/>
              </w:rPr>
            </w:pPr>
            <w:r w:rsidRPr="00753199">
              <w:rPr>
                <w:rFonts w:ascii="Arial" w:hAnsi="Arial" w:cs="Arial"/>
                <w:kern w:val="0"/>
                <w:szCs w:val="20"/>
              </w:rPr>
              <w:t>Publishing schedule</w:t>
            </w:r>
          </w:p>
        </w:tc>
        <w:tc>
          <w:tcPr>
            <w:tcW w:w="4618" w:type="dxa"/>
          </w:tcPr>
          <w:p w14:paraId="46B59D79" w14:textId="6DA448BF" w:rsidR="00B16303" w:rsidRPr="00753199" w:rsidRDefault="00B16303" w:rsidP="005B68D2">
            <w:pPr>
              <w:jc w:val="left"/>
              <w:rPr>
                <w:rFonts w:ascii="Arial" w:hAnsi="Arial" w:cs="Arial"/>
                <w:kern w:val="0"/>
                <w:szCs w:val="20"/>
              </w:rPr>
            </w:pPr>
            <w:r w:rsidRPr="00753199">
              <w:rPr>
                <w:rFonts w:ascii="Arial" w:hAnsi="Arial" w:cs="Arial"/>
                <w:kern w:val="0"/>
                <w:szCs w:val="20"/>
              </w:rPr>
              <w:t>From 2023, PEMJ is published quarterly, on the first day of January, April, July, and October.</w:t>
            </w:r>
          </w:p>
        </w:tc>
      </w:tr>
      <w:tr w:rsidR="00B16303" w:rsidRPr="00753199" w14:paraId="20AEA883" w14:textId="77777777" w:rsidTr="005B68D2">
        <w:tc>
          <w:tcPr>
            <w:tcW w:w="541" w:type="dxa"/>
          </w:tcPr>
          <w:p w14:paraId="65FDCD02" w14:textId="29EC618E" w:rsidR="00B16303" w:rsidRPr="00753199" w:rsidRDefault="00B16303" w:rsidP="00B16303">
            <w:pPr>
              <w:jc w:val="left"/>
              <w:rPr>
                <w:rFonts w:ascii="Arial" w:hAnsi="Arial" w:cs="Arial"/>
                <w:kern w:val="0"/>
                <w:szCs w:val="20"/>
              </w:rPr>
            </w:pPr>
            <w:r w:rsidRPr="00753199">
              <w:rPr>
                <w:rFonts w:ascii="Arial" w:hAnsi="Arial" w:cs="Arial"/>
                <w:kern w:val="0"/>
                <w:szCs w:val="20"/>
              </w:rPr>
              <w:t>4</w:t>
            </w:r>
          </w:p>
        </w:tc>
        <w:tc>
          <w:tcPr>
            <w:tcW w:w="3617" w:type="dxa"/>
          </w:tcPr>
          <w:p w14:paraId="54AEA94E" w14:textId="6E152855" w:rsidR="00B16303" w:rsidRPr="00753199" w:rsidRDefault="00B16303" w:rsidP="00B16303">
            <w:pPr>
              <w:jc w:val="left"/>
              <w:rPr>
                <w:rFonts w:ascii="Arial" w:hAnsi="Arial" w:cs="Arial"/>
                <w:kern w:val="0"/>
                <w:szCs w:val="20"/>
              </w:rPr>
            </w:pPr>
            <w:r w:rsidRPr="00753199">
              <w:rPr>
                <w:rFonts w:ascii="Arial" w:hAnsi="Arial" w:cs="Arial"/>
                <w:kern w:val="0"/>
                <w:szCs w:val="20"/>
              </w:rPr>
              <w:t>Archiving</w:t>
            </w:r>
          </w:p>
        </w:tc>
        <w:tc>
          <w:tcPr>
            <w:tcW w:w="4618" w:type="dxa"/>
          </w:tcPr>
          <w:p w14:paraId="4BA1FE89" w14:textId="302ED513" w:rsidR="00B16303" w:rsidRPr="00753199" w:rsidRDefault="00E753C6" w:rsidP="00E753C6">
            <w:pPr>
              <w:widowControl/>
              <w:wordWrap/>
              <w:autoSpaceDE/>
              <w:autoSpaceDN/>
              <w:spacing w:before="100" w:beforeAutospacing="1" w:after="100" w:afterAutospacing="1" w:line="276" w:lineRule="auto"/>
              <w:jc w:val="left"/>
              <w:rPr>
                <w:rFonts w:ascii="Arial" w:eastAsia="굴림" w:hAnsi="Arial" w:cs="Arial"/>
                <w:bCs/>
                <w:kern w:val="0"/>
                <w:szCs w:val="20"/>
              </w:rPr>
            </w:pPr>
            <w:r w:rsidRPr="00753199">
              <w:rPr>
                <w:rFonts w:ascii="Arial" w:eastAsia="굴림" w:hAnsi="Arial" w:cs="Arial"/>
                <w:bCs/>
                <w:kern w:val="0"/>
                <w:szCs w:val="20"/>
              </w:rPr>
              <w:t xml:space="preserve">The journal is accessible at KoreaMed (https://koreamed.org/), Synapse </w:t>
            </w:r>
            <w:r w:rsidRPr="00753199">
              <w:rPr>
                <w:rFonts w:ascii="Arial" w:eastAsia="굴림" w:hAnsi="Arial" w:cs="Arial"/>
                <w:bCs/>
                <w:kern w:val="0"/>
                <w:szCs w:val="20"/>
              </w:rPr>
              <w:lastRenderedPageBreak/>
              <w:t>(https://synapse.koreamed.org/), KMbase (https://kmbase.medric.or.kr/), Korea Citation Index (</w:t>
            </w:r>
            <w:hyperlink r:id="rId7" w:history="1">
              <w:r w:rsidRPr="00753199">
                <w:rPr>
                  <w:rFonts w:ascii="Arial" w:eastAsia="굴림" w:hAnsi="Arial" w:cs="Arial"/>
                  <w:bCs/>
                  <w:kern w:val="0"/>
                  <w:szCs w:val="20"/>
                </w:rPr>
                <w:t>https://www.kci.go.kr/kciportal/main.kci</w:t>
              </w:r>
            </w:hyperlink>
            <w:r w:rsidRPr="00753199">
              <w:rPr>
                <w:rFonts w:ascii="Arial" w:eastAsia="굴림" w:hAnsi="Arial" w:cs="Arial"/>
                <w:bCs/>
                <w:kern w:val="0"/>
                <w:szCs w:val="20"/>
              </w:rPr>
              <w:t>), Google Scholar (https://scholar.google.co.kr), National Assembly Library of Korea (</w:t>
            </w:r>
            <w:hyperlink r:id="rId8" w:history="1">
              <w:r w:rsidRPr="00753199">
                <w:rPr>
                  <w:rStyle w:val="a7"/>
                  <w:rFonts w:ascii="Arial" w:eastAsia="굴림" w:hAnsi="Arial" w:cs="Arial"/>
                  <w:bCs/>
                  <w:kern w:val="0"/>
                  <w:szCs w:val="20"/>
                </w:rPr>
                <w:t>https://www.nanet.go.kr/main.do</w:t>
              </w:r>
            </w:hyperlink>
            <w:r w:rsidRPr="00753199">
              <w:rPr>
                <w:rFonts w:ascii="Arial" w:eastAsia="굴림" w:hAnsi="Arial" w:cs="Arial"/>
                <w:bCs/>
                <w:kern w:val="0"/>
                <w:szCs w:val="20"/>
              </w:rPr>
              <w:t>), and National Library of Korea (http://nl.go.kr) in the event the journal is no longer published.</w:t>
            </w:r>
          </w:p>
        </w:tc>
      </w:tr>
      <w:tr w:rsidR="00B16303" w:rsidRPr="00753199" w14:paraId="1782F1D3" w14:textId="77777777" w:rsidTr="005B68D2">
        <w:tc>
          <w:tcPr>
            <w:tcW w:w="541" w:type="dxa"/>
          </w:tcPr>
          <w:p w14:paraId="432AA413" w14:textId="37BEDF32" w:rsidR="00B16303" w:rsidRPr="00753199" w:rsidRDefault="00964D89" w:rsidP="00411F95">
            <w:pPr>
              <w:jc w:val="left"/>
              <w:rPr>
                <w:rFonts w:ascii="Arial" w:hAnsi="Arial" w:cs="Arial"/>
                <w:kern w:val="0"/>
                <w:szCs w:val="20"/>
              </w:rPr>
            </w:pPr>
            <w:r w:rsidRPr="00753199">
              <w:rPr>
                <w:rFonts w:ascii="Arial" w:hAnsi="Arial" w:cs="Arial"/>
                <w:kern w:val="0"/>
                <w:szCs w:val="20"/>
              </w:rPr>
              <w:lastRenderedPageBreak/>
              <w:t>5</w:t>
            </w:r>
          </w:p>
        </w:tc>
        <w:tc>
          <w:tcPr>
            <w:tcW w:w="3617" w:type="dxa"/>
          </w:tcPr>
          <w:p w14:paraId="55E54B03" w14:textId="586E45FB" w:rsidR="00B16303" w:rsidRPr="00753199" w:rsidRDefault="00964D89" w:rsidP="00411F95">
            <w:pPr>
              <w:jc w:val="left"/>
              <w:rPr>
                <w:rFonts w:ascii="Arial" w:hAnsi="Arial" w:cs="Arial"/>
                <w:kern w:val="0"/>
                <w:szCs w:val="20"/>
              </w:rPr>
            </w:pPr>
            <w:r w:rsidRPr="00753199">
              <w:rPr>
                <w:rFonts w:ascii="Arial" w:hAnsi="Arial" w:cs="Arial"/>
                <w:kern w:val="0"/>
                <w:szCs w:val="20"/>
              </w:rPr>
              <w:t>Copyright</w:t>
            </w:r>
          </w:p>
        </w:tc>
        <w:tc>
          <w:tcPr>
            <w:tcW w:w="4618" w:type="dxa"/>
          </w:tcPr>
          <w:p w14:paraId="587B9153" w14:textId="7EB283EE" w:rsidR="00B16303" w:rsidRPr="00753199" w:rsidRDefault="00964D89" w:rsidP="00964D89">
            <w:pPr>
              <w:widowControl/>
              <w:wordWrap/>
              <w:autoSpaceDE/>
              <w:autoSpaceDN/>
              <w:spacing w:before="48" w:line="276" w:lineRule="auto"/>
              <w:jc w:val="left"/>
              <w:rPr>
                <w:rFonts w:ascii="Arial" w:eastAsia="굴림" w:hAnsi="Arial" w:cs="Arial"/>
                <w:kern w:val="0"/>
                <w:szCs w:val="20"/>
              </w:rPr>
            </w:pPr>
            <w:r w:rsidRPr="00753199">
              <w:rPr>
                <w:rFonts w:ascii="Arial" w:hAnsi="Arial" w:cs="Arial"/>
                <w:kern w:val="0"/>
                <w:szCs w:val="20"/>
              </w:rPr>
              <w:t>Copyrights of all published materials are owned by the KSPEM and must not be published elsewhere without written permission. The form of copyright transfer form is available from the journal website and submission system</w:t>
            </w:r>
          </w:p>
        </w:tc>
      </w:tr>
      <w:tr w:rsidR="00964D89" w:rsidRPr="00753199" w14:paraId="34EFA6FD" w14:textId="77777777" w:rsidTr="005B68D2">
        <w:tc>
          <w:tcPr>
            <w:tcW w:w="541" w:type="dxa"/>
          </w:tcPr>
          <w:p w14:paraId="7BE8274A" w14:textId="68E5F8B9" w:rsidR="00964D89" w:rsidRPr="00753199" w:rsidRDefault="00964D89" w:rsidP="00411F95">
            <w:pPr>
              <w:jc w:val="left"/>
              <w:rPr>
                <w:rFonts w:ascii="Arial" w:hAnsi="Arial" w:cs="Arial"/>
                <w:kern w:val="0"/>
                <w:szCs w:val="20"/>
              </w:rPr>
            </w:pPr>
            <w:r w:rsidRPr="00753199">
              <w:rPr>
                <w:rFonts w:ascii="Arial" w:hAnsi="Arial" w:cs="Arial"/>
                <w:kern w:val="0"/>
                <w:szCs w:val="20"/>
              </w:rPr>
              <w:t>6</w:t>
            </w:r>
          </w:p>
        </w:tc>
        <w:tc>
          <w:tcPr>
            <w:tcW w:w="3617" w:type="dxa"/>
          </w:tcPr>
          <w:p w14:paraId="14382A09" w14:textId="2B8E6DFB" w:rsidR="00964D89" w:rsidRPr="00753199" w:rsidRDefault="00964D89" w:rsidP="00411F95">
            <w:pPr>
              <w:jc w:val="left"/>
              <w:rPr>
                <w:rFonts w:ascii="Arial" w:hAnsi="Arial" w:cs="Arial"/>
                <w:kern w:val="0"/>
                <w:szCs w:val="20"/>
              </w:rPr>
            </w:pPr>
            <w:r w:rsidRPr="00753199">
              <w:rPr>
                <w:rFonts w:ascii="Arial" w:hAnsi="Arial" w:cs="Arial"/>
                <w:kern w:val="0"/>
                <w:szCs w:val="20"/>
              </w:rPr>
              <w:t>Licensing</w:t>
            </w:r>
          </w:p>
        </w:tc>
        <w:tc>
          <w:tcPr>
            <w:tcW w:w="4618" w:type="dxa"/>
          </w:tcPr>
          <w:p w14:paraId="49B16154" w14:textId="46F1F95F" w:rsidR="00964D89" w:rsidRPr="00753199" w:rsidRDefault="00E753C6" w:rsidP="00E753C6">
            <w:pPr>
              <w:widowControl/>
              <w:wordWrap/>
              <w:autoSpaceDE/>
              <w:autoSpaceDN/>
              <w:spacing w:before="100" w:beforeAutospacing="1" w:after="100" w:afterAutospacing="1" w:line="276" w:lineRule="auto"/>
              <w:jc w:val="left"/>
              <w:rPr>
                <w:rFonts w:ascii="Arial" w:eastAsia="굴림" w:hAnsi="Arial" w:cs="Arial"/>
                <w:kern w:val="0"/>
                <w:szCs w:val="20"/>
              </w:rPr>
            </w:pPr>
            <w:r w:rsidRPr="00753199">
              <w:rPr>
                <w:rFonts w:ascii="Arial" w:eastAsia="굴림" w:hAnsi="Arial" w:cs="Arial"/>
                <w:bCs/>
                <w:kern w:val="0"/>
                <w:szCs w:val="20"/>
              </w:rPr>
              <w:t>All articles are distributed under the terms of the Creative Commons Attribution Non</w:t>
            </w:r>
            <w:r w:rsidRPr="00753199">
              <w:rPr>
                <w:rFonts w:ascii="Arial" w:eastAsia="굴림" w:hAnsi="Arial" w:cs="Arial"/>
                <w:kern w:val="0"/>
                <w:szCs w:val="20"/>
              </w:rPr>
              <w:t>-Commercial License (https://creativecommons.org/licenses/by-nc/4.0/), which permits unrestricted use, distribution, and reproduction in any medium, provided the original work is properly cited.</w:t>
            </w:r>
          </w:p>
        </w:tc>
      </w:tr>
      <w:tr w:rsidR="00964D89" w:rsidRPr="00753199" w14:paraId="274C13F9" w14:textId="77777777" w:rsidTr="005B68D2">
        <w:tc>
          <w:tcPr>
            <w:tcW w:w="541" w:type="dxa"/>
          </w:tcPr>
          <w:p w14:paraId="3A1BD81D" w14:textId="3014EB7C" w:rsidR="00964D89" w:rsidRPr="00753199" w:rsidRDefault="00964D89" w:rsidP="00964D89">
            <w:pPr>
              <w:jc w:val="left"/>
              <w:rPr>
                <w:rFonts w:ascii="Arial" w:hAnsi="Arial" w:cs="Arial"/>
                <w:kern w:val="0"/>
                <w:szCs w:val="20"/>
              </w:rPr>
            </w:pPr>
            <w:r w:rsidRPr="00753199">
              <w:rPr>
                <w:rFonts w:ascii="Arial" w:hAnsi="Arial" w:cs="Arial"/>
                <w:kern w:val="0"/>
                <w:szCs w:val="20"/>
              </w:rPr>
              <w:t>7</w:t>
            </w:r>
          </w:p>
        </w:tc>
        <w:tc>
          <w:tcPr>
            <w:tcW w:w="3617" w:type="dxa"/>
          </w:tcPr>
          <w:p w14:paraId="593EB16B" w14:textId="496CCFDD" w:rsidR="00964D89" w:rsidRPr="00753199" w:rsidRDefault="00964D89" w:rsidP="00964D89">
            <w:pPr>
              <w:jc w:val="left"/>
              <w:rPr>
                <w:rFonts w:ascii="Arial" w:hAnsi="Arial" w:cs="Arial"/>
                <w:kern w:val="0"/>
                <w:szCs w:val="20"/>
              </w:rPr>
            </w:pPr>
            <w:r w:rsidRPr="00753199">
              <w:rPr>
                <w:rFonts w:ascii="Arial" w:hAnsi="Arial" w:cs="Arial"/>
                <w:kern w:val="0"/>
                <w:szCs w:val="20"/>
              </w:rPr>
              <w:t>Publication ethics and related editorial policies</w:t>
            </w:r>
          </w:p>
        </w:tc>
        <w:tc>
          <w:tcPr>
            <w:tcW w:w="4618" w:type="dxa"/>
          </w:tcPr>
          <w:p w14:paraId="55292A64" w14:textId="1BB5B13F" w:rsidR="00964D89" w:rsidRPr="00753199" w:rsidRDefault="00964D89" w:rsidP="00964D89">
            <w:pPr>
              <w:widowControl/>
              <w:wordWrap/>
              <w:autoSpaceDE/>
              <w:autoSpaceDN/>
              <w:spacing w:before="48" w:line="276" w:lineRule="auto"/>
              <w:jc w:val="left"/>
              <w:rPr>
                <w:rFonts w:ascii="Arial" w:hAnsi="Arial" w:cs="Arial"/>
                <w:kern w:val="0"/>
                <w:szCs w:val="20"/>
              </w:rPr>
            </w:pPr>
            <w:r w:rsidRPr="00753199">
              <w:rPr>
                <w:rFonts w:ascii="Arial" w:hAnsi="Arial" w:cs="Arial"/>
                <w:kern w:val="0"/>
                <w:szCs w:val="20"/>
              </w:rPr>
              <w:t>https://www.pemj.org/authors/ethics.php</w:t>
            </w:r>
          </w:p>
        </w:tc>
      </w:tr>
      <w:tr w:rsidR="009F21A0" w:rsidRPr="00753199" w14:paraId="1FF9D7D6" w14:textId="77777777" w:rsidTr="005B68D2">
        <w:tc>
          <w:tcPr>
            <w:tcW w:w="541" w:type="dxa"/>
          </w:tcPr>
          <w:p w14:paraId="4C6C098E" w14:textId="3C1DC20B" w:rsidR="00321DE7" w:rsidRPr="00753199" w:rsidRDefault="00964D89" w:rsidP="00411F95">
            <w:pPr>
              <w:jc w:val="left"/>
              <w:rPr>
                <w:rFonts w:ascii="Arial" w:hAnsi="Arial" w:cs="Arial"/>
                <w:kern w:val="0"/>
                <w:szCs w:val="20"/>
              </w:rPr>
            </w:pPr>
            <w:r w:rsidRPr="00753199">
              <w:rPr>
                <w:rFonts w:ascii="Arial" w:hAnsi="Arial" w:cs="Arial"/>
                <w:kern w:val="0"/>
                <w:szCs w:val="20"/>
              </w:rPr>
              <w:t>8</w:t>
            </w:r>
          </w:p>
        </w:tc>
        <w:tc>
          <w:tcPr>
            <w:tcW w:w="3617" w:type="dxa"/>
          </w:tcPr>
          <w:p w14:paraId="67B76D04" w14:textId="5CAA00E0" w:rsidR="00321DE7" w:rsidRPr="00753199" w:rsidRDefault="00321DE7" w:rsidP="00964D89">
            <w:pPr>
              <w:jc w:val="left"/>
              <w:rPr>
                <w:rFonts w:ascii="Arial" w:hAnsi="Arial" w:cs="Arial"/>
                <w:kern w:val="0"/>
                <w:szCs w:val="20"/>
              </w:rPr>
            </w:pPr>
            <w:r w:rsidRPr="00753199">
              <w:rPr>
                <w:rFonts w:ascii="Arial" w:hAnsi="Arial" w:cs="Arial"/>
                <w:kern w:val="0"/>
                <w:szCs w:val="20"/>
              </w:rPr>
              <w:t xml:space="preserve">Peer review </w:t>
            </w:r>
          </w:p>
        </w:tc>
        <w:tc>
          <w:tcPr>
            <w:tcW w:w="4618" w:type="dxa"/>
          </w:tcPr>
          <w:p w14:paraId="531F020B" w14:textId="77777777" w:rsidR="003502CA"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t>The submitted manuscript will first be evaluated at the editorial board regarding the possibility of plagiarism, completeness of the submitted materials, and their suitability to PEMJ. Prior to the peer review, the editorial board can reject manuscripts for misconduct, or request the authors for explanation. Manuscripts may be returned to the authors at this stage if they have serious flaws or are not suitable for PEMJ.</w:t>
            </w:r>
          </w:p>
          <w:p w14:paraId="679E4B37" w14:textId="77777777" w:rsidR="003502CA"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t xml:space="preserve">Submitted manuscripts will generally be reviewed by the editors and two peer reviewers. The reviewers make suggestions to the editorial board. </w:t>
            </w:r>
          </w:p>
          <w:p w14:paraId="3EB87A69" w14:textId="77777777" w:rsidR="003502CA"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t xml:space="preserve">PEMJ performs double-blinded peer review of the submitted manuscripts. Neither the peer reviewers nor the authors are revealed to each other. Authors may suggest preferred reviewers. However, this suggestion may not be accepted by the editorial board. </w:t>
            </w:r>
          </w:p>
          <w:p w14:paraId="463CEA88" w14:textId="77777777" w:rsidR="003502CA"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t>The authors can monitor the progress of the manuscript throughout the review process at the submission system (</w:t>
            </w:r>
            <w:hyperlink r:id="rId9" w:history="1">
              <w:r w:rsidRPr="00753199">
                <w:rPr>
                  <w:rFonts w:ascii="Arial" w:eastAsia="굴림" w:hAnsi="Arial" w:cs="Arial"/>
                  <w:kern w:val="0"/>
                  <w:szCs w:val="20"/>
                </w:rPr>
                <w:t>https://submit.pemj.org/</w:t>
              </w:r>
            </w:hyperlink>
            <w:r w:rsidRPr="00753199">
              <w:rPr>
                <w:rFonts w:ascii="Arial" w:eastAsia="굴림" w:hAnsi="Arial" w:cs="Arial"/>
                <w:kern w:val="0"/>
                <w:szCs w:val="20"/>
              </w:rPr>
              <w:t xml:space="preserve">). </w:t>
            </w:r>
          </w:p>
          <w:p w14:paraId="29FE3BD3" w14:textId="77777777" w:rsidR="003502CA"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t xml:space="preserve">The first review is finished within 60 days after the first submission. Reviewers </w:t>
            </w:r>
            <w:r w:rsidRPr="00753199">
              <w:rPr>
                <w:rFonts w:ascii="Arial" w:eastAsia="굴림" w:hAnsi="Arial" w:cs="Arial"/>
                <w:kern w:val="0"/>
                <w:szCs w:val="20"/>
              </w:rPr>
              <w:lastRenderedPageBreak/>
              <w:t xml:space="preserve">consider the originality, scientific importance, study design, methodology, brevity in expression, priority for publication, and potential for revision. Reviewers should provide constructive criticism on the parts requiring revision. Submitted manuscripts will be rendered one of the following decisions: Accept, Minor Revisions, Major Revisions, and Reject. </w:t>
            </w:r>
            <w:r w:rsidRPr="00753199">
              <w:rPr>
                <w:rFonts w:ascii="Arial" w:eastAsia="굴림" w:hAnsi="Arial" w:cs="Arial"/>
                <w:b/>
                <w:kern w:val="0"/>
                <w:szCs w:val="20"/>
              </w:rPr>
              <w:t>A revision needs to be submitted within 60 days of the decision.</w:t>
            </w:r>
            <w:r w:rsidRPr="00753199">
              <w:rPr>
                <w:rFonts w:ascii="Arial" w:eastAsia="굴림" w:hAnsi="Arial" w:cs="Arial"/>
                <w:kern w:val="0"/>
                <w:szCs w:val="20"/>
              </w:rPr>
              <w:t xml:space="preserve"> Otherwise, the manuscript is regarded as a new submission.</w:t>
            </w:r>
            <w:r w:rsidRPr="00753199">
              <w:rPr>
                <w:rFonts w:ascii="Arial" w:eastAsia="굴림" w:hAnsi="Arial" w:cs="Arial"/>
                <w:kern w:val="0"/>
                <w:szCs w:val="20"/>
              </w:rPr>
              <w:br/>
              <w:t>1) All submitted manuscripts are subject to the Crosscheck, and the editorial office can reject the manuscripts suspected of plagiarism.</w:t>
            </w:r>
            <w:r w:rsidRPr="00753199">
              <w:rPr>
                <w:rFonts w:ascii="Arial" w:eastAsia="굴림" w:hAnsi="Arial" w:cs="Arial"/>
                <w:kern w:val="0"/>
                <w:szCs w:val="20"/>
              </w:rPr>
              <w:br/>
              <w:t>2) Manuscripts for case reports regarding diseases that have already been reported cannot be published. However, they may be published after proper review process if they contain the discussion over unknown aspects of the disease, new diagnostic and therapeutic modalities, and unknown associated diseases.</w:t>
            </w:r>
            <w:r w:rsidRPr="00753199">
              <w:rPr>
                <w:rFonts w:ascii="Arial" w:eastAsia="굴림" w:hAnsi="Arial" w:cs="Arial"/>
                <w:kern w:val="0"/>
                <w:szCs w:val="20"/>
              </w:rPr>
              <w:br/>
              <w:t>3) If manuscripts regarding drugs or equipment have a potential for commercial use, the editorial office can consult proper specialists on them.</w:t>
            </w:r>
            <w:r w:rsidRPr="00753199">
              <w:rPr>
                <w:rFonts w:ascii="Arial" w:eastAsia="굴림" w:hAnsi="Arial" w:cs="Arial"/>
                <w:kern w:val="0"/>
                <w:szCs w:val="20"/>
              </w:rPr>
              <w:br/>
              <w:t>4) Manuscripts containing the contents which have already been rejected by PEMJ can be published only if substantially improved.</w:t>
            </w:r>
            <w:r w:rsidRPr="00753199">
              <w:rPr>
                <w:rFonts w:ascii="Arial" w:eastAsia="굴림" w:hAnsi="Arial" w:cs="Arial"/>
                <w:kern w:val="0"/>
                <w:szCs w:val="20"/>
              </w:rPr>
              <w:br/>
              <w:t>5) The editorial board reserves the right to make corrections to literary and technical flaws found in the accepted manuscripts after proper communication with the corresponding authors.</w:t>
            </w:r>
            <w:r w:rsidRPr="00753199">
              <w:rPr>
                <w:rFonts w:ascii="Arial" w:eastAsia="굴림" w:hAnsi="Arial" w:cs="Arial"/>
                <w:kern w:val="0"/>
                <w:szCs w:val="20"/>
              </w:rPr>
              <w:br/>
              <w:t xml:space="preserve">6) The editorial board can refer the editing process to outsourced manuscript editors. </w:t>
            </w:r>
          </w:p>
          <w:p w14:paraId="1949CE05" w14:textId="77777777" w:rsidR="003502CA"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t>The decision to accept a manuscript is not based solely on the scientific validity and originality; other factors are considered, including the extent and importance of new information in the paper as compared with that in other papers being considered, the journal's need to represent a wide range of topics, the overall suitability for PEMJ, and research and publication ethics.</w:t>
            </w:r>
          </w:p>
          <w:p w14:paraId="02DE29E5" w14:textId="467D2C95" w:rsidR="00321DE7" w:rsidRPr="00753199"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753199">
              <w:rPr>
                <w:rFonts w:ascii="Arial" w:eastAsia="굴림" w:hAnsi="Arial" w:cs="Arial"/>
                <w:kern w:val="0"/>
                <w:szCs w:val="20"/>
              </w:rPr>
              <w:lastRenderedPageBreak/>
              <w:t>Decision letters usually, but not always, convey all factors considered for a particular decision. Occasionally, reviewers’ comments may appear to be inconsistent with the decision, which takes into consideration reviewers' comments as well as the additional factors listed above.</w:t>
            </w:r>
          </w:p>
        </w:tc>
      </w:tr>
      <w:tr w:rsidR="00964D89" w:rsidRPr="00753199" w14:paraId="48366D58" w14:textId="77777777" w:rsidTr="005B68D2">
        <w:tc>
          <w:tcPr>
            <w:tcW w:w="541" w:type="dxa"/>
          </w:tcPr>
          <w:p w14:paraId="6E894CC3" w14:textId="629B97CE" w:rsidR="00964D89" w:rsidRPr="00753199" w:rsidRDefault="00964D89" w:rsidP="00964D89">
            <w:pPr>
              <w:jc w:val="left"/>
              <w:rPr>
                <w:rFonts w:ascii="Arial" w:hAnsi="Arial" w:cs="Arial"/>
                <w:kern w:val="0"/>
                <w:szCs w:val="20"/>
              </w:rPr>
            </w:pPr>
            <w:r w:rsidRPr="00753199">
              <w:rPr>
                <w:rFonts w:ascii="Arial" w:hAnsi="Arial" w:cs="Arial"/>
                <w:kern w:val="0"/>
                <w:szCs w:val="20"/>
              </w:rPr>
              <w:lastRenderedPageBreak/>
              <w:t>9</w:t>
            </w:r>
          </w:p>
        </w:tc>
        <w:tc>
          <w:tcPr>
            <w:tcW w:w="3617" w:type="dxa"/>
          </w:tcPr>
          <w:p w14:paraId="2452CA1B" w14:textId="7C64472F" w:rsidR="00964D89" w:rsidRPr="00753199" w:rsidRDefault="00964D89" w:rsidP="00964D89">
            <w:pPr>
              <w:jc w:val="left"/>
              <w:rPr>
                <w:rFonts w:ascii="Arial" w:hAnsi="Arial" w:cs="Arial"/>
                <w:kern w:val="0"/>
                <w:szCs w:val="20"/>
              </w:rPr>
            </w:pPr>
            <w:r w:rsidRPr="00753199">
              <w:rPr>
                <w:rFonts w:ascii="Arial" w:hAnsi="Arial" w:cs="Arial"/>
                <w:kern w:val="0"/>
                <w:szCs w:val="20"/>
              </w:rPr>
              <w:t>Access</w:t>
            </w:r>
          </w:p>
        </w:tc>
        <w:tc>
          <w:tcPr>
            <w:tcW w:w="4618" w:type="dxa"/>
          </w:tcPr>
          <w:p w14:paraId="17202BA1" w14:textId="2E0BDA2D" w:rsidR="00964D89" w:rsidRPr="00753199" w:rsidRDefault="00964D89" w:rsidP="00964D89">
            <w:pPr>
              <w:jc w:val="left"/>
              <w:rPr>
                <w:rFonts w:ascii="Arial" w:hAnsi="Arial" w:cs="Arial"/>
                <w:kern w:val="0"/>
                <w:szCs w:val="20"/>
              </w:rPr>
            </w:pPr>
            <w:r w:rsidRPr="00753199">
              <w:rPr>
                <w:rFonts w:ascii="Arial" w:hAnsi="Arial" w:cs="Arial"/>
                <w:kern w:val="0"/>
                <w:szCs w:val="20"/>
              </w:rPr>
              <w:t>The PEMJ is freely distributed to members of the KSPEM and relevant institutions. Full text files are also freely available at the official (https://www.pemj.org) and mobile (pemj.org/m) websites. For subscription, please contact us.</w:t>
            </w:r>
          </w:p>
        </w:tc>
      </w:tr>
      <w:tr w:rsidR="009F21A0" w:rsidRPr="00753199" w14:paraId="7028A2EA" w14:textId="77777777" w:rsidTr="005B68D2">
        <w:tc>
          <w:tcPr>
            <w:tcW w:w="541" w:type="dxa"/>
          </w:tcPr>
          <w:p w14:paraId="4ED9F593" w14:textId="1655E73E" w:rsidR="00321DE7" w:rsidRPr="00753199" w:rsidRDefault="00964D89" w:rsidP="00411F95">
            <w:pPr>
              <w:jc w:val="left"/>
              <w:rPr>
                <w:rFonts w:ascii="Arial" w:hAnsi="Arial" w:cs="Arial"/>
                <w:kern w:val="0"/>
                <w:szCs w:val="20"/>
              </w:rPr>
            </w:pPr>
            <w:r w:rsidRPr="00753199">
              <w:rPr>
                <w:rFonts w:ascii="Arial" w:hAnsi="Arial" w:cs="Arial"/>
                <w:kern w:val="0"/>
                <w:szCs w:val="20"/>
              </w:rPr>
              <w:t>10</w:t>
            </w:r>
          </w:p>
        </w:tc>
        <w:tc>
          <w:tcPr>
            <w:tcW w:w="3617" w:type="dxa"/>
          </w:tcPr>
          <w:p w14:paraId="1AAEE82A" w14:textId="4EAF57E3" w:rsidR="00321DE7" w:rsidRPr="00753199" w:rsidRDefault="00321DE7" w:rsidP="00411F95">
            <w:pPr>
              <w:jc w:val="left"/>
              <w:rPr>
                <w:rFonts w:ascii="Arial" w:hAnsi="Arial" w:cs="Arial"/>
                <w:kern w:val="0"/>
                <w:szCs w:val="20"/>
              </w:rPr>
            </w:pPr>
            <w:r w:rsidRPr="00753199">
              <w:rPr>
                <w:rFonts w:ascii="Arial" w:hAnsi="Arial" w:cs="Arial"/>
                <w:kern w:val="0"/>
                <w:szCs w:val="20"/>
              </w:rPr>
              <w:t>Ownership and management</w:t>
            </w:r>
          </w:p>
        </w:tc>
        <w:tc>
          <w:tcPr>
            <w:tcW w:w="4618" w:type="dxa"/>
          </w:tcPr>
          <w:p w14:paraId="430D4BFB" w14:textId="2ABF79FC" w:rsidR="00321DE7" w:rsidRPr="00753199" w:rsidRDefault="002130BD" w:rsidP="00411F95">
            <w:pPr>
              <w:jc w:val="left"/>
              <w:rPr>
                <w:rFonts w:ascii="Arial" w:hAnsi="Arial" w:cs="Arial"/>
                <w:kern w:val="0"/>
                <w:szCs w:val="20"/>
              </w:rPr>
            </w:pPr>
            <w:r w:rsidRPr="00753199">
              <w:rPr>
                <w:rFonts w:ascii="Arial" w:hAnsi="Arial" w:cs="Arial"/>
                <w:kern w:val="0"/>
                <w:szCs w:val="20"/>
              </w:rPr>
              <w:t>The Pediatric Emergency Medicine Journal (Pediatr Emerg Med J, PEMJ; pISSN 2383-4897, eISSN 2508-5506) is the official peer-reviewed journal of the Korean Society of Pediatric Emergency Medicine (KSPEM). The KSPEM holds the copyright on all submitted articles.</w:t>
            </w:r>
          </w:p>
        </w:tc>
      </w:tr>
      <w:tr w:rsidR="00964D89" w:rsidRPr="00753199" w14:paraId="31B786D0" w14:textId="77777777" w:rsidTr="005B68D2">
        <w:tc>
          <w:tcPr>
            <w:tcW w:w="541" w:type="dxa"/>
          </w:tcPr>
          <w:p w14:paraId="4EC19BCE" w14:textId="0248FA54" w:rsidR="00964D89" w:rsidRPr="00753199" w:rsidRDefault="00964D89" w:rsidP="00411F95">
            <w:pPr>
              <w:jc w:val="left"/>
              <w:rPr>
                <w:rFonts w:ascii="Arial" w:hAnsi="Arial" w:cs="Arial"/>
                <w:kern w:val="0"/>
                <w:szCs w:val="20"/>
              </w:rPr>
            </w:pPr>
            <w:r w:rsidRPr="00753199">
              <w:rPr>
                <w:rFonts w:ascii="Arial" w:hAnsi="Arial" w:cs="Arial"/>
                <w:kern w:val="0"/>
                <w:szCs w:val="20"/>
              </w:rPr>
              <w:t>11</w:t>
            </w:r>
          </w:p>
        </w:tc>
        <w:tc>
          <w:tcPr>
            <w:tcW w:w="3617" w:type="dxa"/>
          </w:tcPr>
          <w:p w14:paraId="74831EE6" w14:textId="0889B338" w:rsidR="00964D89" w:rsidRPr="00753199" w:rsidRDefault="00964D89" w:rsidP="00411F95">
            <w:pPr>
              <w:jc w:val="left"/>
              <w:rPr>
                <w:rFonts w:ascii="Arial" w:hAnsi="Arial" w:cs="Arial"/>
                <w:kern w:val="0"/>
                <w:szCs w:val="20"/>
              </w:rPr>
            </w:pPr>
            <w:r w:rsidRPr="00753199">
              <w:rPr>
                <w:rFonts w:ascii="Arial" w:hAnsi="Arial" w:cs="Arial"/>
                <w:kern w:val="0"/>
                <w:szCs w:val="20"/>
              </w:rPr>
              <w:t>Advisory body</w:t>
            </w:r>
          </w:p>
        </w:tc>
        <w:tc>
          <w:tcPr>
            <w:tcW w:w="4618" w:type="dxa"/>
          </w:tcPr>
          <w:p w14:paraId="6545616D" w14:textId="7B174BE4" w:rsidR="00964D89" w:rsidRPr="00753199" w:rsidRDefault="00964D89" w:rsidP="00411F95">
            <w:pPr>
              <w:jc w:val="left"/>
              <w:rPr>
                <w:rFonts w:ascii="Arial" w:hAnsi="Arial" w:cs="Arial"/>
                <w:kern w:val="0"/>
                <w:szCs w:val="20"/>
              </w:rPr>
            </w:pPr>
            <w:r w:rsidRPr="00753199">
              <w:rPr>
                <w:rFonts w:ascii="Arial" w:hAnsi="Arial" w:cs="Arial"/>
                <w:kern w:val="0"/>
                <w:szCs w:val="20"/>
              </w:rPr>
              <w:t>https://www.pemj.org/about/editorial.php</w:t>
            </w:r>
          </w:p>
        </w:tc>
      </w:tr>
      <w:tr w:rsidR="009F21A0" w:rsidRPr="00753199" w14:paraId="09DC280F" w14:textId="77777777" w:rsidTr="005B68D2">
        <w:tc>
          <w:tcPr>
            <w:tcW w:w="541" w:type="dxa"/>
          </w:tcPr>
          <w:p w14:paraId="3C3C8B9F" w14:textId="07A9D999" w:rsidR="00321DE7" w:rsidRPr="00753199" w:rsidRDefault="00964D89" w:rsidP="00411F95">
            <w:pPr>
              <w:jc w:val="left"/>
              <w:rPr>
                <w:rFonts w:ascii="Arial" w:hAnsi="Arial" w:cs="Arial"/>
                <w:kern w:val="0"/>
                <w:szCs w:val="20"/>
              </w:rPr>
            </w:pPr>
            <w:r w:rsidRPr="00753199">
              <w:rPr>
                <w:rFonts w:ascii="Arial" w:hAnsi="Arial" w:cs="Arial"/>
                <w:kern w:val="0"/>
                <w:szCs w:val="20"/>
              </w:rPr>
              <w:t>12</w:t>
            </w:r>
          </w:p>
        </w:tc>
        <w:tc>
          <w:tcPr>
            <w:tcW w:w="3617" w:type="dxa"/>
          </w:tcPr>
          <w:p w14:paraId="79C51ED0" w14:textId="251CB392" w:rsidR="00321DE7" w:rsidRPr="00753199" w:rsidRDefault="00321DE7" w:rsidP="00411F95">
            <w:pPr>
              <w:jc w:val="left"/>
              <w:rPr>
                <w:rFonts w:ascii="Arial" w:hAnsi="Arial" w:cs="Arial"/>
                <w:kern w:val="0"/>
                <w:szCs w:val="20"/>
              </w:rPr>
            </w:pPr>
            <w:r w:rsidRPr="00753199">
              <w:rPr>
                <w:rFonts w:ascii="Arial" w:hAnsi="Arial" w:cs="Arial"/>
                <w:kern w:val="0"/>
                <w:szCs w:val="20"/>
              </w:rPr>
              <w:t>Editorial team/contact information</w:t>
            </w:r>
          </w:p>
        </w:tc>
        <w:tc>
          <w:tcPr>
            <w:tcW w:w="4618" w:type="dxa"/>
          </w:tcPr>
          <w:p w14:paraId="1A3BF96A" w14:textId="1F3F39C6" w:rsidR="00321DE7" w:rsidRPr="00753199" w:rsidRDefault="002130BD" w:rsidP="00411F95">
            <w:pPr>
              <w:jc w:val="left"/>
              <w:rPr>
                <w:rFonts w:ascii="Arial" w:hAnsi="Arial" w:cs="Arial"/>
                <w:kern w:val="0"/>
                <w:szCs w:val="20"/>
              </w:rPr>
            </w:pPr>
            <w:r w:rsidRPr="00753199">
              <w:rPr>
                <w:rFonts w:ascii="Arial" w:hAnsi="Arial" w:cs="Arial"/>
                <w:kern w:val="0"/>
                <w:szCs w:val="20"/>
              </w:rPr>
              <w:t>https://www.pemj.org/about/contact.php</w:t>
            </w:r>
          </w:p>
        </w:tc>
      </w:tr>
      <w:tr w:rsidR="009F21A0" w:rsidRPr="00753199" w14:paraId="77126A08" w14:textId="77777777" w:rsidTr="005B68D2">
        <w:tc>
          <w:tcPr>
            <w:tcW w:w="541" w:type="dxa"/>
          </w:tcPr>
          <w:p w14:paraId="609C006F" w14:textId="0BC26056" w:rsidR="00321DE7" w:rsidRPr="00753199" w:rsidRDefault="0033764E" w:rsidP="00411F95">
            <w:pPr>
              <w:jc w:val="left"/>
              <w:rPr>
                <w:rFonts w:ascii="Arial" w:hAnsi="Arial" w:cs="Arial"/>
                <w:kern w:val="0"/>
                <w:szCs w:val="20"/>
              </w:rPr>
            </w:pPr>
            <w:r w:rsidRPr="00753199">
              <w:rPr>
                <w:rFonts w:ascii="Arial" w:hAnsi="Arial" w:cs="Arial"/>
                <w:kern w:val="0"/>
                <w:szCs w:val="20"/>
              </w:rPr>
              <w:t>13</w:t>
            </w:r>
          </w:p>
        </w:tc>
        <w:tc>
          <w:tcPr>
            <w:tcW w:w="3617" w:type="dxa"/>
          </w:tcPr>
          <w:p w14:paraId="5BC991F7" w14:textId="4556D7EE" w:rsidR="00321DE7" w:rsidRPr="00753199" w:rsidRDefault="00321DE7" w:rsidP="00411F95">
            <w:pPr>
              <w:jc w:val="left"/>
              <w:rPr>
                <w:rFonts w:ascii="Arial" w:hAnsi="Arial" w:cs="Arial"/>
                <w:kern w:val="0"/>
                <w:szCs w:val="20"/>
              </w:rPr>
            </w:pPr>
            <w:r w:rsidRPr="00753199">
              <w:rPr>
                <w:rFonts w:ascii="Arial" w:hAnsi="Arial" w:cs="Arial"/>
                <w:kern w:val="0"/>
                <w:szCs w:val="20"/>
              </w:rPr>
              <w:t>Author fees</w:t>
            </w:r>
          </w:p>
        </w:tc>
        <w:tc>
          <w:tcPr>
            <w:tcW w:w="4618" w:type="dxa"/>
          </w:tcPr>
          <w:p w14:paraId="5EF1A34B" w14:textId="68161B47" w:rsidR="00321DE7" w:rsidRPr="00753199" w:rsidRDefault="00E753C6" w:rsidP="00E753C6">
            <w:pPr>
              <w:widowControl/>
              <w:wordWrap/>
              <w:autoSpaceDE/>
              <w:autoSpaceDN/>
              <w:spacing w:before="100" w:beforeAutospacing="1" w:after="100" w:afterAutospacing="1" w:line="276" w:lineRule="auto"/>
              <w:jc w:val="left"/>
              <w:rPr>
                <w:rFonts w:ascii="Arial" w:eastAsia="굴림" w:hAnsi="Arial" w:cs="Arial"/>
                <w:kern w:val="0"/>
                <w:szCs w:val="20"/>
              </w:rPr>
            </w:pPr>
            <w:r w:rsidRPr="00753199">
              <w:rPr>
                <w:rFonts w:ascii="Arial" w:eastAsia="굴림" w:hAnsi="Arial" w:cs="Arial"/>
                <w:bCs/>
                <w:kern w:val="0"/>
                <w:szCs w:val="20"/>
              </w:rPr>
              <w:t>Since July 1, 2019, authors are required to pay APC</w:t>
            </w:r>
            <w:r w:rsidRPr="00753199">
              <w:rPr>
                <w:rFonts w:ascii="Arial" w:hAnsi="Arial" w:cs="Arial"/>
                <w:szCs w:val="20"/>
                <w:lang w:val="en"/>
              </w:rPr>
              <w:t xml:space="preserve"> of </w:t>
            </w:r>
            <w:r w:rsidRPr="00753199">
              <w:rPr>
                <w:rFonts w:ascii="Arial" w:hAnsi="Arial" w:cs="Arial"/>
                <w:b/>
                <w:bCs/>
                <w:szCs w:val="20"/>
                <w:lang w:val="en"/>
              </w:rPr>
              <w:t>200 USD (200,000 KRW)</w:t>
            </w:r>
            <w:r w:rsidRPr="00753199">
              <w:rPr>
                <w:rFonts w:ascii="Arial" w:eastAsia="굴림" w:hAnsi="Arial" w:cs="Arial"/>
                <w:bCs/>
                <w:kern w:val="0"/>
                <w:szCs w:val="20"/>
              </w:rPr>
              <w:t xml:space="preserve"> </w:t>
            </w:r>
            <w:r w:rsidRPr="00753199">
              <w:rPr>
                <w:rFonts w:ascii="Arial" w:hAnsi="Arial" w:cs="Arial"/>
                <w:szCs w:val="20"/>
                <w:lang w:val="en"/>
              </w:rPr>
              <w:t>upon the acceptance. Waiver of the APC is applied to any solicited or review articles. Authors are also charged for color printing of figures unless the printing is considered necessary by the editorial board (</w:t>
            </w:r>
            <w:r w:rsidRPr="00753199">
              <w:rPr>
                <w:rFonts w:ascii="Arial" w:hAnsi="Arial" w:cs="Arial"/>
                <w:i/>
                <w:szCs w:val="20"/>
                <w:lang w:val="en"/>
              </w:rPr>
              <w:t>e.g.</w:t>
            </w:r>
            <w:r w:rsidRPr="00753199">
              <w:rPr>
                <w:rFonts w:ascii="Arial" w:hAnsi="Arial" w:cs="Arial"/>
                <w:szCs w:val="20"/>
                <w:lang w:val="en"/>
              </w:rPr>
              <w:t xml:space="preserve">, endoscopic finding, skin lesion or pathology). </w:t>
            </w:r>
            <w:r w:rsidRPr="00753199">
              <w:rPr>
                <w:rFonts w:ascii="Arial" w:eastAsia="굴림" w:hAnsi="Arial" w:cs="Arial"/>
                <w:kern w:val="0"/>
                <w:szCs w:val="20"/>
              </w:rPr>
              <w:t>PEMJ does not provide reprint service.</w:t>
            </w:r>
          </w:p>
        </w:tc>
      </w:tr>
      <w:tr w:rsidR="00501F26" w:rsidRPr="00753199" w14:paraId="1983ACFE" w14:textId="77777777" w:rsidTr="005B68D2">
        <w:tc>
          <w:tcPr>
            <w:tcW w:w="541" w:type="dxa"/>
          </w:tcPr>
          <w:p w14:paraId="41B6C16D" w14:textId="4C878752" w:rsidR="00501F26" w:rsidRPr="00753199" w:rsidRDefault="00501F26" w:rsidP="00501F26">
            <w:pPr>
              <w:jc w:val="left"/>
              <w:rPr>
                <w:rFonts w:ascii="Arial" w:hAnsi="Arial" w:cs="Arial"/>
                <w:kern w:val="0"/>
                <w:szCs w:val="20"/>
              </w:rPr>
            </w:pPr>
            <w:r w:rsidRPr="00753199">
              <w:rPr>
                <w:rFonts w:ascii="Arial" w:hAnsi="Arial" w:cs="Arial"/>
                <w:kern w:val="0"/>
                <w:szCs w:val="20"/>
              </w:rPr>
              <w:t>14</w:t>
            </w:r>
          </w:p>
        </w:tc>
        <w:tc>
          <w:tcPr>
            <w:tcW w:w="3617" w:type="dxa"/>
          </w:tcPr>
          <w:p w14:paraId="1B2758A7" w14:textId="065F3DB1" w:rsidR="00501F26" w:rsidRPr="00753199" w:rsidRDefault="00501F26" w:rsidP="00501F26">
            <w:pPr>
              <w:jc w:val="left"/>
              <w:rPr>
                <w:rFonts w:ascii="Arial" w:hAnsi="Arial" w:cs="Arial"/>
                <w:kern w:val="0"/>
                <w:szCs w:val="20"/>
              </w:rPr>
            </w:pPr>
            <w:r w:rsidRPr="00753199">
              <w:rPr>
                <w:rFonts w:ascii="Arial" w:hAnsi="Arial" w:cs="Arial"/>
                <w:kern w:val="0"/>
                <w:szCs w:val="20"/>
              </w:rPr>
              <w:t xml:space="preserve">Other revenue </w:t>
            </w:r>
          </w:p>
        </w:tc>
        <w:tc>
          <w:tcPr>
            <w:tcW w:w="4618" w:type="dxa"/>
          </w:tcPr>
          <w:p w14:paraId="4F80C147" w14:textId="0ECE6E2B" w:rsidR="00501F26" w:rsidRPr="00753199" w:rsidRDefault="00501F26" w:rsidP="00501F26">
            <w:pPr>
              <w:jc w:val="left"/>
              <w:rPr>
                <w:rFonts w:ascii="Arial" w:hAnsi="Arial" w:cs="Arial"/>
                <w:kern w:val="0"/>
                <w:szCs w:val="20"/>
              </w:rPr>
            </w:pPr>
            <w:r w:rsidRPr="00753199">
              <w:rPr>
                <w:rFonts w:ascii="Arial" w:hAnsi="Arial" w:cs="Arial"/>
                <w:kern w:val="0"/>
                <w:szCs w:val="20"/>
              </w:rPr>
              <w:t>Revenue sources of the journal include APC, financial support from the KSPEM, advertisement, and the governmental funds.</w:t>
            </w:r>
          </w:p>
        </w:tc>
      </w:tr>
      <w:tr w:rsidR="009F21A0" w:rsidRPr="00753199" w14:paraId="4DB046E1" w14:textId="77777777" w:rsidTr="005B68D2">
        <w:tc>
          <w:tcPr>
            <w:tcW w:w="541" w:type="dxa"/>
          </w:tcPr>
          <w:p w14:paraId="5AC840E0" w14:textId="49D3775B" w:rsidR="00321DE7" w:rsidRPr="00753199" w:rsidRDefault="00321DE7" w:rsidP="00411F95">
            <w:pPr>
              <w:jc w:val="left"/>
              <w:rPr>
                <w:rFonts w:ascii="Arial" w:hAnsi="Arial" w:cs="Arial"/>
                <w:kern w:val="0"/>
                <w:szCs w:val="20"/>
              </w:rPr>
            </w:pPr>
            <w:r w:rsidRPr="00753199">
              <w:rPr>
                <w:rFonts w:ascii="Arial" w:hAnsi="Arial" w:cs="Arial"/>
                <w:kern w:val="0"/>
                <w:szCs w:val="20"/>
              </w:rPr>
              <w:t>15</w:t>
            </w:r>
          </w:p>
        </w:tc>
        <w:tc>
          <w:tcPr>
            <w:tcW w:w="3617" w:type="dxa"/>
          </w:tcPr>
          <w:p w14:paraId="4F6DBB19" w14:textId="309BB1EC" w:rsidR="00321DE7" w:rsidRPr="00753199" w:rsidRDefault="00321DE7" w:rsidP="00411F95">
            <w:pPr>
              <w:jc w:val="left"/>
              <w:rPr>
                <w:rFonts w:ascii="Arial" w:hAnsi="Arial" w:cs="Arial"/>
                <w:kern w:val="0"/>
                <w:szCs w:val="20"/>
              </w:rPr>
            </w:pPr>
            <w:r w:rsidRPr="00753199">
              <w:rPr>
                <w:rFonts w:ascii="Arial" w:hAnsi="Arial" w:cs="Arial"/>
                <w:kern w:val="0"/>
                <w:szCs w:val="20"/>
              </w:rPr>
              <w:t>Advertising</w:t>
            </w:r>
          </w:p>
        </w:tc>
        <w:tc>
          <w:tcPr>
            <w:tcW w:w="4618" w:type="dxa"/>
          </w:tcPr>
          <w:p w14:paraId="3FAF933C" w14:textId="63401E6D" w:rsidR="00321DE7" w:rsidRPr="00753199" w:rsidRDefault="00DF3A8D" w:rsidP="00411F95">
            <w:pPr>
              <w:jc w:val="left"/>
              <w:rPr>
                <w:rFonts w:ascii="Arial" w:hAnsi="Arial" w:cs="Arial"/>
                <w:kern w:val="0"/>
                <w:szCs w:val="20"/>
              </w:rPr>
            </w:pPr>
            <w:r w:rsidRPr="00753199">
              <w:rPr>
                <w:rFonts w:ascii="Arial" w:hAnsi="Arial" w:cs="Arial"/>
                <w:kern w:val="0"/>
                <w:szCs w:val="20"/>
              </w:rPr>
              <w:t>Academic contents and editorial decisions of the PEMJ are independent from commercial interests or specific contracts with advertisers. The journal reserves the right to decline any type of advertising that is harmful to the value of the journal. Advertisements should clearly identify the advertiser and the product or service being offered. Exaggerated copy is not allowed. PEMJ do not allow any specific advertisements to be linked to specific articles, of which contents are related to the products being advertised.</w:t>
            </w:r>
          </w:p>
        </w:tc>
      </w:tr>
      <w:tr w:rsidR="00321DE7" w:rsidRPr="00753199" w14:paraId="3D6A713C" w14:textId="77777777" w:rsidTr="005B68D2">
        <w:tc>
          <w:tcPr>
            <w:tcW w:w="541" w:type="dxa"/>
          </w:tcPr>
          <w:p w14:paraId="7E9BF6A8" w14:textId="42B7B19B" w:rsidR="00321DE7" w:rsidRPr="00753199" w:rsidRDefault="00321DE7" w:rsidP="00411F95">
            <w:pPr>
              <w:jc w:val="left"/>
              <w:rPr>
                <w:rFonts w:ascii="Arial" w:hAnsi="Arial" w:cs="Arial"/>
                <w:kern w:val="0"/>
                <w:szCs w:val="20"/>
              </w:rPr>
            </w:pPr>
            <w:r w:rsidRPr="00753199">
              <w:rPr>
                <w:rFonts w:ascii="Arial" w:hAnsi="Arial" w:cs="Arial"/>
                <w:kern w:val="0"/>
                <w:szCs w:val="20"/>
              </w:rPr>
              <w:t>16</w:t>
            </w:r>
          </w:p>
        </w:tc>
        <w:tc>
          <w:tcPr>
            <w:tcW w:w="3617" w:type="dxa"/>
          </w:tcPr>
          <w:p w14:paraId="405291D4" w14:textId="28068813" w:rsidR="00321DE7" w:rsidRPr="00753199" w:rsidRDefault="00321DE7" w:rsidP="00411F95">
            <w:pPr>
              <w:jc w:val="left"/>
              <w:rPr>
                <w:rFonts w:ascii="Arial" w:hAnsi="Arial" w:cs="Arial"/>
                <w:kern w:val="0"/>
                <w:szCs w:val="20"/>
              </w:rPr>
            </w:pPr>
            <w:r w:rsidRPr="00753199">
              <w:rPr>
                <w:rFonts w:ascii="Arial" w:hAnsi="Arial" w:cs="Arial"/>
                <w:kern w:val="0"/>
                <w:szCs w:val="20"/>
              </w:rPr>
              <w:t>Direct marketing</w:t>
            </w:r>
          </w:p>
        </w:tc>
        <w:tc>
          <w:tcPr>
            <w:tcW w:w="4618" w:type="dxa"/>
          </w:tcPr>
          <w:p w14:paraId="3AB1432A" w14:textId="027EFE2E" w:rsidR="00321DE7" w:rsidRPr="00753199" w:rsidRDefault="00DF3A8D" w:rsidP="00411F95">
            <w:pPr>
              <w:jc w:val="left"/>
              <w:rPr>
                <w:rFonts w:ascii="Arial" w:hAnsi="Arial" w:cs="Arial"/>
                <w:kern w:val="0"/>
                <w:szCs w:val="20"/>
              </w:rPr>
            </w:pPr>
            <w:r w:rsidRPr="00753199">
              <w:rPr>
                <w:rFonts w:ascii="Arial" w:hAnsi="Arial" w:cs="Arial"/>
                <w:kern w:val="0"/>
                <w:szCs w:val="20"/>
              </w:rPr>
              <w:t>Journal propagation has been done through the journal website and distribution of the journals. Invitations to submit a manuscript are usually focused on the members of the relevant societies, presenters at conferences, seminars or workshops if the topic is relevant to the aims and scope.</w:t>
            </w:r>
          </w:p>
        </w:tc>
      </w:tr>
    </w:tbl>
    <w:p w14:paraId="6E694F18" w14:textId="7785C4EF" w:rsidR="00080BCD" w:rsidRPr="00753199" w:rsidRDefault="00080BCD" w:rsidP="00B123ED">
      <w:pPr>
        <w:ind w:firstLine="240"/>
        <w:jc w:val="left"/>
        <w:rPr>
          <w:rFonts w:ascii="Arial" w:hAnsi="Arial" w:cs="Arial"/>
          <w:kern w:val="0"/>
          <w:szCs w:val="20"/>
        </w:rPr>
      </w:pPr>
    </w:p>
    <w:sectPr w:rsidR="00080BCD" w:rsidRPr="00753199" w:rsidSect="00F262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C531" w14:textId="77777777" w:rsidR="008D6466" w:rsidRDefault="008D6466" w:rsidP="008900CF">
      <w:pPr>
        <w:spacing w:after="0" w:line="240" w:lineRule="auto"/>
      </w:pPr>
      <w:r>
        <w:separator/>
      </w:r>
    </w:p>
  </w:endnote>
  <w:endnote w:type="continuationSeparator" w:id="0">
    <w:p w14:paraId="1D01B4B8" w14:textId="77777777" w:rsidR="008D6466" w:rsidRDefault="008D6466" w:rsidP="0089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9E2B" w14:textId="77777777" w:rsidR="008D6466" w:rsidRDefault="008D6466" w:rsidP="008900CF">
      <w:pPr>
        <w:spacing w:after="0" w:line="240" w:lineRule="auto"/>
      </w:pPr>
      <w:r>
        <w:separator/>
      </w:r>
    </w:p>
  </w:footnote>
  <w:footnote w:type="continuationSeparator" w:id="0">
    <w:p w14:paraId="5C363634" w14:textId="77777777" w:rsidR="008D6466" w:rsidRDefault="008D6466" w:rsidP="0089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325"/>
    <w:multiLevelType w:val="multilevel"/>
    <w:tmpl w:val="98DCBB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0701AC"/>
    <w:multiLevelType w:val="hybridMultilevel"/>
    <w:tmpl w:val="347CE20E"/>
    <w:lvl w:ilvl="0" w:tplc="97DC7F0A">
      <w:start w:val="11"/>
      <w:numFmt w:val="bullet"/>
      <w:lvlText w:val="-"/>
      <w:lvlJc w:val="left"/>
      <w:pPr>
        <w:ind w:left="600" w:hanging="360"/>
      </w:pPr>
      <w:rPr>
        <w:rFonts w:ascii="맑은 고딕" w:eastAsia="맑은 고딕" w:hAnsi="맑은 고딕" w:cs="굴림" w:hint="eastAsia"/>
        <w:u w:val="none"/>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3BD0626D"/>
    <w:multiLevelType w:val="multilevel"/>
    <w:tmpl w:val="5650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AA6960"/>
    <w:multiLevelType w:val="hybridMultilevel"/>
    <w:tmpl w:val="64C8C6C0"/>
    <w:lvl w:ilvl="0" w:tplc="00CCF5EE">
      <w:start w:val="3"/>
      <w:numFmt w:val="ganada"/>
      <w:lvlText w:val="%1."/>
      <w:lvlJc w:val="left"/>
      <w:pPr>
        <w:ind w:left="480" w:hanging="360"/>
      </w:pPr>
      <w:rPr>
        <w:rFonts w:hint="eastAsia"/>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1178498086">
    <w:abstractNumId w:val="1"/>
  </w:num>
  <w:num w:numId="2" w16cid:durableId="849949443">
    <w:abstractNumId w:val="3"/>
  </w:num>
  <w:num w:numId="3" w16cid:durableId="2064212499">
    <w:abstractNumId w:val="0"/>
  </w:num>
  <w:num w:numId="4" w16cid:durableId="170873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CB"/>
    <w:rsid w:val="000218EB"/>
    <w:rsid w:val="00027E16"/>
    <w:rsid w:val="00056AD8"/>
    <w:rsid w:val="00072DAA"/>
    <w:rsid w:val="00080BCD"/>
    <w:rsid w:val="000A3B61"/>
    <w:rsid w:val="000B7C7A"/>
    <w:rsid w:val="000D29CB"/>
    <w:rsid w:val="000E1738"/>
    <w:rsid w:val="001142D6"/>
    <w:rsid w:val="00114CEC"/>
    <w:rsid w:val="00165030"/>
    <w:rsid w:val="001B5360"/>
    <w:rsid w:val="001B65AC"/>
    <w:rsid w:val="00210C44"/>
    <w:rsid w:val="002130BD"/>
    <w:rsid w:val="00284885"/>
    <w:rsid w:val="00294AC3"/>
    <w:rsid w:val="002A22F0"/>
    <w:rsid w:val="00303D0E"/>
    <w:rsid w:val="00321DE7"/>
    <w:rsid w:val="0033764E"/>
    <w:rsid w:val="003502CA"/>
    <w:rsid w:val="00356085"/>
    <w:rsid w:val="00407B63"/>
    <w:rsid w:val="00411F95"/>
    <w:rsid w:val="00420ACB"/>
    <w:rsid w:val="00452AFB"/>
    <w:rsid w:val="004738B6"/>
    <w:rsid w:val="0048410A"/>
    <w:rsid w:val="00501F26"/>
    <w:rsid w:val="00513415"/>
    <w:rsid w:val="00532B20"/>
    <w:rsid w:val="00571ED2"/>
    <w:rsid w:val="00597915"/>
    <w:rsid w:val="005B0B9C"/>
    <w:rsid w:val="005B68D2"/>
    <w:rsid w:val="005C3431"/>
    <w:rsid w:val="005E059F"/>
    <w:rsid w:val="00626421"/>
    <w:rsid w:val="00631B1B"/>
    <w:rsid w:val="00677F74"/>
    <w:rsid w:val="006B4FC7"/>
    <w:rsid w:val="006C105F"/>
    <w:rsid w:val="00732E74"/>
    <w:rsid w:val="00744A94"/>
    <w:rsid w:val="00753199"/>
    <w:rsid w:val="0075380F"/>
    <w:rsid w:val="00757FAB"/>
    <w:rsid w:val="0076339B"/>
    <w:rsid w:val="007C02ED"/>
    <w:rsid w:val="007D34F5"/>
    <w:rsid w:val="007D368A"/>
    <w:rsid w:val="007F1A36"/>
    <w:rsid w:val="00863212"/>
    <w:rsid w:val="00873A89"/>
    <w:rsid w:val="008900CF"/>
    <w:rsid w:val="008D1250"/>
    <w:rsid w:val="008D6466"/>
    <w:rsid w:val="00923462"/>
    <w:rsid w:val="009326BE"/>
    <w:rsid w:val="00964D89"/>
    <w:rsid w:val="009D72DC"/>
    <w:rsid w:val="009F21A0"/>
    <w:rsid w:val="009F6A18"/>
    <w:rsid w:val="00A01656"/>
    <w:rsid w:val="00A25985"/>
    <w:rsid w:val="00A25A7C"/>
    <w:rsid w:val="00A84F5F"/>
    <w:rsid w:val="00AB3CE3"/>
    <w:rsid w:val="00B111C7"/>
    <w:rsid w:val="00B123ED"/>
    <w:rsid w:val="00B16303"/>
    <w:rsid w:val="00BA7FF5"/>
    <w:rsid w:val="00BC424A"/>
    <w:rsid w:val="00C4628C"/>
    <w:rsid w:val="00C6084A"/>
    <w:rsid w:val="00C81CB4"/>
    <w:rsid w:val="00C92F3A"/>
    <w:rsid w:val="00CD6564"/>
    <w:rsid w:val="00D536A1"/>
    <w:rsid w:val="00DA2923"/>
    <w:rsid w:val="00DF3A8D"/>
    <w:rsid w:val="00DF7BB7"/>
    <w:rsid w:val="00E306D3"/>
    <w:rsid w:val="00E753C6"/>
    <w:rsid w:val="00EC7153"/>
    <w:rsid w:val="00ED0219"/>
    <w:rsid w:val="00F11D4D"/>
    <w:rsid w:val="00F14A57"/>
    <w:rsid w:val="00FC3910"/>
    <w:rsid w:val="00FE0F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18B0"/>
  <w15:chartTrackingRefBased/>
  <w15:docId w15:val="{DEE67987-1CDB-4863-987F-5BEC3E5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AC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900CF"/>
    <w:pPr>
      <w:tabs>
        <w:tab w:val="center" w:pos="4513"/>
        <w:tab w:val="right" w:pos="9026"/>
      </w:tabs>
      <w:spacing w:after="0" w:line="240" w:lineRule="auto"/>
    </w:pPr>
  </w:style>
  <w:style w:type="character" w:customStyle="1" w:styleId="Char">
    <w:name w:val="머리글 Char"/>
    <w:basedOn w:val="a0"/>
    <w:link w:val="a4"/>
    <w:uiPriority w:val="99"/>
    <w:rsid w:val="008900CF"/>
  </w:style>
  <w:style w:type="paragraph" w:styleId="a5">
    <w:name w:val="footer"/>
    <w:basedOn w:val="a"/>
    <w:link w:val="Char0"/>
    <w:uiPriority w:val="99"/>
    <w:unhideWhenUsed/>
    <w:rsid w:val="008900CF"/>
    <w:pPr>
      <w:tabs>
        <w:tab w:val="center" w:pos="4513"/>
        <w:tab w:val="right" w:pos="9026"/>
      </w:tabs>
      <w:spacing w:after="0" w:line="240" w:lineRule="auto"/>
    </w:pPr>
  </w:style>
  <w:style w:type="character" w:customStyle="1" w:styleId="Char0">
    <w:name w:val="바닥글 Char"/>
    <w:basedOn w:val="a0"/>
    <w:link w:val="a5"/>
    <w:uiPriority w:val="99"/>
    <w:rsid w:val="008900CF"/>
  </w:style>
  <w:style w:type="paragraph" w:styleId="a6">
    <w:name w:val="List Paragraph"/>
    <w:basedOn w:val="a"/>
    <w:uiPriority w:val="34"/>
    <w:qFormat/>
    <w:rsid w:val="00626421"/>
    <w:pPr>
      <w:ind w:left="720"/>
      <w:contextualSpacing/>
    </w:pPr>
  </w:style>
  <w:style w:type="character" w:styleId="a7">
    <w:name w:val="Hyperlink"/>
    <w:basedOn w:val="a0"/>
    <w:uiPriority w:val="99"/>
    <w:unhideWhenUsed/>
    <w:rsid w:val="00E753C6"/>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et.go.kr/main.do" TargetMode="External"/><Relationship Id="rId3" Type="http://schemas.openxmlformats.org/officeDocument/2006/relationships/settings" Target="settings.xml"/><Relationship Id="rId7" Type="http://schemas.openxmlformats.org/officeDocument/2006/relationships/hyperlink" Target="https://www.kci.go.kr/kciportal/main.k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bmit.pemj.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ajoumc</dc:creator>
  <cp:keywords/>
  <dc:description/>
  <cp:lastModifiedBy>Kim Jung Heon</cp:lastModifiedBy>
  <cp:revision>52</cp:revision>
  <dcterms:created xsi:type="dcterms:W3CDTF">2021-12-15T09:30:00Z</dcterms:created>
  <dcterms:modified xsi:type="dcterms:W3CDTF">2022-12-13T23:01:00Z</dcterms:modified>
</cp:coreProperties>
</file>